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MODÈLE DE MINI-CHARTE IA</w:t>
      </w:r>
    </w:p>
    <w:p>
      <w:pPr>
        <w:jc w:val="center"/>
      </w:pPr>
      <w:r>
        <w:rPr>
          <w:i/>
          <w:color w:val="52655C"/>
        </w:rPr>
        <w:t>Document de travail à adapter, valider et dater selon votre organisation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shd w:fill="0B5C56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FFFFFF"/>
              </w:rPr>
              <w:t>Organisation</w:t>
            </w:r>
          </w:p>
        </w:tc>
        <w:tc>
          <w:tcPr>
            <w:tcW w:type="dxa" w:w="2592"/>
            <w:shd w:fill="0B5C56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FFFFFF"/>
              </w:rPr>
              <w:t>Version</w:t>
            </w:r>
          </w:p>
        </w:tc>
        <w:tc>
          <w:tcPr>
            <w:tcW w:type="dxa" w:w="2592"/>
            <w:shd w:fill="0B5C56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FFFFFF"/>
              </w:rPr>
              <w:t>Propriétaire</w:t>
            </w:r>
          </w:p>
        </w:tc>
        <w:tc>
          <w:tcPr>
            <w:tcW w:type="dxa" w:w="2592"/>
            <w:shd w:fill="0B5C56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FFFFFF"/>
              </w:rPr>
              <w:t>Prochaine revue</w:t>
            </w:r>
          </w:p>
        </w:tc>
      </w:tr>
      <w:tr>
        <w:tc>
          <w:tcPr>
            <w:tcW w:type="dxa" w:w="2592"/>
            <w:shd w:fill="F3FBF6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À compléter</w:t>
            </w:r>
          </w:p>
        </w:tc>
        <w:tc>
          <w:tcPr>
            <w:tcW w:type="dxa" w:w="2592"/>
            <w:shd w:fill="F3FBF6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v0.1</w:t>
            </w:r>
          </w:p>
        </w:tc>
        <w:tc>
          <w:tcPr>
            <w:tcW w:type="dxa" w:w="2592"/>
            <w:shd w:fill="F3FBF6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À désigner</w:t>
            </w:r>
          </w:p>
        </w:tc>
        <w:tc>
          <w:tcPr>
            <w:tcW w:type="dxa" w:w="2592"/>
            <w:shd w:fill="F3FBF6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t>JJ/MM/AAAA</w:t>
            </w:r>
          </w:p>
        </w:tc>
      </w:tr>
    </w:tbl>
    <w:p>
      <w:pPr>
        <w:pStyle w:val="Heading1"/>
      </w:pPr>
      <w:r>
        <w:t>1. Périmètre</w:t>
      </w:r>
    </w:p>
    <w:p>
      <w:pPr>
        <w:spacing w:after="80"/>
      </w:pPr>
      <w:r>
        <w:t>Cette charte concerne : [fonctions, équipes, prestataires]. Elle s’applique aux outils d’IA utilisés au nom de l’organisation.</w:t>
      </w:r>
    </w:p>
    <w:p>
      <w:r>
        <w:t xml:space="preserve">Décision de l’organisation : </w:t>
      </w:r>
      <w:r>
        <w:rPr>
          <w:color w:val="6D7C74"/>
        </w:rPr>
        <w:t>........................................................................................................</w:t>
      </w:r>
    </w:p>
    <w:p>
      <w:pPr>
        <w:pStyle w:val="Heading1"/>
      </w:pPr>
      <w:r>
        <w:t>2. Outils approuvés</w:t>
      </w:r>
    </w:p>
    <w:p>
      <w:pPr>
        <w:spacing w:after="80"/>
      </w:pPr>
      <w:r>
        <w:t>Outils et comptes autorisés : [liste]. Toute nouvelle connexion ou app doit être évaluée avant activation.</w:t>
      </w:r>
    </w:p>
    <w:p>
      <w:r>
        <w:t xml:space="preserve">Décision de l’organisation : </w:t>
      </w:r>
      <w:r>
        <w:rPr>
          <w:color w:val="6D7C74"/>
        </w:rPr>
        <w:t>........................................................................................................</w:t>
      </w:r>
    </w:p>
    <w:p>
      <w:pPr>
        <w:pStyle w:val="Heading1"/>
      </w:pPr>
      <w:r>
        <w:t>3. Données</w:t>
      </w:r>
    </w:p>
    <w:p>
      <w:pPr>
        <w:spacing w:after="80"/>
      </w:pPr>
      <w:r>
        <w:t>Public : usage autorisé. Interne : selon l’outil et la règle. Confidentiel, personnel ou sensible : ne pas transmettre sans environnement et autorisation adaptés.</w:t>
      </w:r>
    </w:p>
    <w:p>
      <w:r>
        <w:t xml:space="preserve">Décision de l’organisation : </w:t>
      </w:r>
      <w:r>
        <w:rPr>
          <w:color w:val="6D7C74"/>
        </w:rPr>
        <w:t>........................................................................................................</w:t>
      </w:r>
    </w:p>
    <w:p>
      <w:pPr>
        <w:pStyle w:val="Heading1"/>
      </w:pPr>
      <w:r>
        <w:t>4. Usages permis</w:t>
      </w:r>
    </w:p>
    <w:p>
      <w:pPr>
        <w:spacing w:after="80"/>
      </w:pPr>
      <w:r>
        <w:t>Exemples : brouillon, synthèse avec sources, préparation de tableau. Usages soumis à validation renforcée : [liste]. Usages interdits : [liste].</w:t>
      </w:r>
    </w:p>
    <w:p>
      <w:r>
        <w:t xml:space="preserve">Décision de l’organisation : </w:t>
      </w:r>
      <w:r>
        <w:rPr>
          <w:color w:val="6D7C74"/>
        </w:rPr>
        <w:t>........................................................................................................</w:t>
      </w:r>
    </w:p>
    <w:p>
      <w:pPr>
        <w:pStyle w:val="Heading1"/>
      </w:pPr>
      <w:r>
        <w:t>5. Contrôle humain</w:t>
      </w:r>
    </w:p>
    <w:p>
      <w:pPr>
        <w:spacing w:after="80"/>
      </w:pPr>
      <w:r>
        <w:t>Les faits, personnes, dates, montants, décisions, destinataires et pièces jointes sont vérifiés avant utilisation ou diffusion.</w:t>
      </w:r>
    </w:p>
    <w:p>
      <w:r>
        <w:t xml:space="preserve">Décision de l’organisation : </w:t>
      </w:r>
      <w:r>
        <w:rPr>
          <w:color w:val="6D7C74"/>
        </w:rPr>
        <w:t>........................................................................................................</w:t>
      </w:r>
    </w:p>
    <w:p>
      <w:pPr>
        <w:pStyle w:val="Heading1"/>
      </w:pPr>
      <w:r>
        <w:t>6. Connexions et automatisations</w:t>
      </w:r>
    </w:p>
    <w:p>
      <w:pPr>
        <w:spacing w:after="80"/>
      </w:pPr>
      <w:r>
        <w:t>Commencer en lecture, limiter les permissions, demander une confirmation avant toute écriture et conserver une voie d’arrêt.</w:t>
      </w:r>
    </w:p>
    <w:p>
      <w:r>
        <w:t xml:space="preserve">Décision de l’organisation : </w:t>
      </w:r>
      <w:r>
        <w:rPr>
          <w:color w:val="6D7C74"/>
        </w:rPr>
        <w:t>........................................................................................................</w:t>
      </w:r>
    </w:p>
    <w:p>
      <w:pPr>
        <w:pStyle w:val="Heading1"/>
      </w:pPr>
      <w:r>
        <w:t>7. Aide et incident</w:t>
      </w:r>
    </w:p>
    <w:p>
      <w:pPr>
        <w:spacing w:after="80"/>
      </w:pPr>
      <w:r>
        <w:t>En cas de doute ou d’incident : arrêter, conserver les traces utiles sans recopier les données, puis contacter [référent métier / DPO / sécurité].</w:t>
      </w:r>
    </w:p>
    <w:p>
      <w:r>
        <w:t xml:space="preserve">Décision de l’organisation : </w:t>
      </w:r>
      <w:r>
        <w:rPr>
          <w:color w:val="6D7C74"/>
        </w:rPr>
        <w:t>........................................................................................................</w:t>
      </w:r>
    </w:p>
    <w:p>
      <w:pPr>
        <w:pStyle w:val="Heading1"/>
      </w:pPr>
      <w:r>
        <w:t>8. Formation et révision</w:t>
      </w:r>
    </w:p>
    <w:p>
      <w:pPr>
        <w:spacing w:after="80"/>
      </w:pPr>
      <w:r>
        <w:t>Les personnes reçoivent un accompagnement adapté à leur usage. La charte est revue après un changement d’outil, un incident ou à la date prévue.</w:t>
      </w:r>
    </w:p>
    <w:p>
      <w:r>
        <w:t xml:space="preserve">Décision de l’organisation : </w:t>
      </w:r>
      <w:r>
        <w:rPr>
          <w:color w:val="6D7C74"/>
        </w:rPr>
        <w:t>........................................................................................................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FFF8F1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r>
              <w:rPr>
                <w:b/>
                <w:color w:val="0B5C56"/>
              </w:rPr>
              <w:t>TEST AVANT VALIDATION</w:t>
              <w:br/>
              <w:t>Cas normal : peut-on agir ?  ·  Cas incomplet : l’absence reste-t-elle visible ?  ·  Cas sensible : sait-on anonymiser ou arrêter ?</w:t>
            </w:r>
          </w:p>
        </w:tc>
      </w:tr>
    </w:tbl>
    <w:p>
      <w:pPr>
        <w:pStyle w:val="Heading1"/>
      </w:pPr>
      <w:r>
        <w:t>Validation interne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  <w:shd w:fill="0B5C56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FFFFFF"/>
              </w:rPr>
              <w:t>Rôle</w:t>
            </w:r>
          </w:p>
        </w:tc>
        <w:tc>
          <w:tcPr>
            <w:tcW w:type="dxa" w:w="3456"/>
            <w:shd w:fill="0B5C56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FFFFFF"/>
              </w:rPr>
              <w:t>Nom / fonction</w:t>
            </w:r>
          </w:p>
        </w:tc>
        <w:tc>
          <w:tcPr>
            <w:tcW w:type="dxa" w:w="3456"/>
            <w:shd w:fill="0B5C56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FFFFFF"/>
              </w:rPr>
              <w:t>Date et décision</w:t>
            </w:r>
          </w:p>
        </w:tc>
      </w:tr>
      <w:tr>
        <w:tc>
          <w:tcPr>
            <w:tcW w:type="dxa" w:w="3456"/>
            <w:tcMar>
              <w:top w:w="150" w:type="dxa"/>
              <w:start w:w="120" w:type="dxa"/>
              <w:bottom w:w="150" w:type="dxa"/>
              <w:end w:w="120" w:type="dxa"/>
            </w:tcMar>
          </w:tcPr>
          <w:p>
            <w:r>
              <w:t>Métier</w:t>
            </w:r>
          </w:p>
        </w:tc>
        <w:tc>
          <w:tcPr>
            <w:tcW w:type="dxa" w:w="3456"/>
            <w:tcMar>
              <w:top w:w="150" w:type="dxa"/>
              <w:start w:w="120" w:type="dxa"/>
              <w:bottom w:w="150" w:type="dxa"/>
              <w:end w:w="120" w:type="dxa"/>
            </w:tcMar>
          </w:tcPr>
          <w:p>
            <w:r/>
          </w:p>
        </w:tc>
        <w:tc>
          <w:tcPr>
            <w:tcW w:type="dxa" w:w="3456"/>
            <w:tcMar>
              <w:top w:w="150" w:type="dxa"/>
              <w:start w:w="120" w:type="dxa"/>
              <w:bottom w:w="150" w:type="dxa"/>
              <w:end w:w="120" w:type="dxa"/>
            </w:tcMar>
          </w:tcPr>
          <w:p>
            <w:r/>
          </w:p>
        </w:tc>
      </w:tr>
      <w:tr>
        <w:tc>
          <w:tcPr>
            <w:tcW w:type="dxa" w:w="3456"/>
            <w:tcMar>
              <w:top w:w="150" w:type="dxa"/>
              <w:start w:w="120" w:type="dxa"/>
              <w:bottom w:w="150" w:type="dxa"/>
              <w:end w:w="120" w:type="dxa"/>
            </w:tcMar>
          </w:tcPr>
          <w:p>
            <w:r>
              <w:t>Protection des données</w:t>
            </w:r>
          </w:p>
        </w:tc>
        <w:tc>
          <w:tcPr>
            <w:tcW w:type="dxa" w:w="3456"/>
            <w:tcMar>
              <w:top w:w="150" w:type="dxa"/>
              <w:start w:w="120" w:type="dxa"/>
              <w:bottom w:w="150" w:type="dxa"/>
              <w:end w:w="120" w:type="dxa"/>
            </w:tcMar>
          </w:tcPr>
          <w:p>
            <w:r/>
          </w:p>
        </w:tc>
        <w:tc>
          <w:tcPr>
            <w:tcW w:type="dxa" w:w="3456"/>
            <w:tcMar>
              <w:top w:w="150" w:type="dxa"/>
              <w:start w:w="120" w:type="dxa"/>
              <w:bottom w:w="150" w:type="dxa"/>
              <w:end w:w="120" w:type="dxa"/>
            </w:tcMar>
          </w:tcPr>
          <w:p>
            <w:r/>
          </w:p>
        </w:tc>
      </w:tr>
      <w:tr>
        <w:tc>
          <w:tcPr>
            <w:tcW w:type="dxa" w:w="3456"/>
            <w:tcMar>
              <w:top w:w="150" w:type="dxa"/>
              <w:start w:w="120" w:type="dxa"/>
              <w:bottom w:w="150" w:type="dxa"/>
              <w:end w:w="120" w:type="dxa"/>
            </w:tcMar>
          </w:tcPr>
          <w:p>
            <w:r>
              <w:t>Sécurité / direction</w:t>
            </w:r>
          </w:p>
        </w:tc>
        <w:tc>
          <w:tcPr>
            <w:tcW w:type="dxa" w:w="3456"/>
            <w:tcMar>
              <w:top w:w="150" w:type="dxa"/>
              <w:start w:w="120" w:type="dxa"/>
              <w:bottom w:w="150" w:type="dxa"/>
              <w:end w:w="120" w:type="dxa"/>
            </w:tcMar>
          </w:tcPr>
          <w:p>
            <w:r/>
          </w:p>
        </w:tc>
        <w:tc>
          <w:tcPr>
            <w:tcW w:type="dxa" w:w="3456"/>
            <w:tcMar>
              <w:top w:w="150" w:type="dxa"/>
              <w:start w:w="120" w:type="dxa"/>
              <w:bottom w:w="150" w:type="dxa"/>
              <w:end w:w="120" w:type="dxa"/>
            </w:tcMar>
          </w:tcPr>
          <w:p>
            <w:r/>
          </w:p>
        </w:tc>
      </w:tr>
    </w:tbl>
    <w:sectPr w:rsidR="00FC693F" w:rsidRPr="0006063C" w:rsidSect="00034616">
      <w:footerReference w:type="default" r:id="rId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NBForm · Modèle pédagogique — à adapter au contexte et à la procédure interne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173F2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B5C56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B5C5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B5C56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