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F28C52"/>
          <w:sz w:val="20"/>
        </w:rPr>
        <w:t>DOSSIER D’EXERCICE</w:t>
      </w:r>
    </w:p>
    <w:p>
      <w:pPr>
        <w:spacing w:after="100"/>
      </w:pPr>
      <w:r>
        <w:rPr>
          <w:rFonts w:ascii="Calibri" w:hAnsi="Calibri"/>
          <w:b/>
          <w:i w:val="0"/>
          <w:color w:val="0B5C56"/>
          <w:sz w:val="56"/>
        </w:rPr>
        <w:t>Projet Horizon</w:t>
      </w:r>
    </w:p>
    <w:p>
      <w:pPr>
        <w:spacing w:after="360"/>
      </w:pPr>
      <w:r>
        <w:rPr>
          <w:rFonts w:ascii="Calibri" w:hAnsi="Calibri"/>
          <w:b w:val="0"/>
          <w:i w:val="0"/>
          <w:color w:val="52655C"/>
          <w:sz w:val="28"/>
        </w:rPr>
        <w:t>Préparer et suivre une réunion avec une IA, sans perdre le contrôle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3FBF6"/>
          </w:tcPr>
          <w:p>
            <w:r>
              <w:rPr>
                <w:rFonts w:ascii="Calibri" w:hAnsi="Calibri"/>
                <w:b/>
                <w:i w:val="0"/>
                <w:color w:val="0B5C56"/>
                <w:sz w:val="22"/>
              </w:rPr>
              <w:t>Votre mission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3FBF6"/>
          </w:tcPr>
          <w:p>
            <w:r>
              <w:rPr>
                <w:rFonts w:ascii="Calibri" w:hAnsi="Calibri"/>
                <w:b w:val="0"/>
                <w:i w:val="0"/>
                <w:color w:val="173F2A"/>
                <w:sz w:val="22"/>
              </w:rPr>
              <w:t>Produire un ordre du jour, une synthèse, un tableau d’actions et un courriel de suivi.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0B5C56"/>
                <w:sz w:val="22"/>
              </w:rPr>
              <w:t>Règle essentielle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73F2A"/>
                <w:sz w:val="22"/>
              </w:rPr>
              <w:t>Une information absente doit rester absente ou être marquée « à confirmer ».</w:t>
            </w:r>
          </w:p>
        </w:tc>
      </w:tr>
    </w:tbl>
    <w:p>
      <w:pPr>
        <w:pStyle w:val="Heading1"/>
      </w:pPr>
      <w:r>
        <w:t>1. Le contexte</w:t>
      </w:r>
    </w:p>
    <w:p>
      <w:r>
        <w:t>Projet Horizon est une démarche fictive de modernisation d’un service client. L’équipe prépare une réunion de trente minutes destinée à arbitrer la maquette, le chiffrage et le calendrier de test. Vous êtes chargé de préparer les livrables avec l’aide d’une IA, puis de les vérifier avant tout partage.</w:t>
      </w:r>
    </w:p>
    <w:p>
      <w:pPr>
        <w:pStyle w:val="Heading1"/>
      </w:pPr>
      <w:r>
        <w:t>2. La demande reçue</w:t>
      </w:r>
    </w:p>
    <w:p>
      <w:pPr>
        <w:spacing w:before="80" w:after="200"/>
        <w:ind w:left="360" w:right="360"/>
      </w:pPr>
      <w:r>
        <w:rPr>
          <w:rFonts w:ascii="Calibri" w:hAnsi="Calibri"/>
          <w:b w:val="0"/>
          <w:i w:val="0"/>
          <w:color w:val="173F2A"/>
          <w:sz w:val="21"/>
        </w:rPr>
        <w:t>De : Camille Morel, responsable de projet</w:t>
        <w:br/>
        <w:t>Objet : Point Horizon de vendredi</w:t>
        <w:br/>
        <w:br/>
        <w:t>Peux-tu préparer le point de vendredi ? Il faut que nous avancions sur la maquette, le budget et la date du test. J’aimerais aussi que le client reçoive un message après la réunion. Merci.</w:t>
      </w:r>
    </w:p>
    <w:p>
      <w:pPr>
        <w:pStyle w:val="Heading1"/>
      </w:pPr>
      <w:r>
        <w:t>3. Les notes brutes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Maquette validée sur le principe ; deux libellés doivent encore être simplifiés.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Léa prépare un premier chiffrage. Aucun montant n’a été validé.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Le client souhaite un point d’avancement vendredi à 14 h.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La date du test utilisateur n’est pas décidée.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Suggestion : inviter deux conseillers du support au prochain atelier.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Décision : conserver le parcours en trois écrans pour la version test.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Action explicite : Malik transmet la liste des libellés à corriger avant jeudi 16 h.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Question ouverte : faut-il prévoir une version anglaise dès le test ?</w:t>
      </w:r>
    </w:p>
    <w:p>
      <w:r>
        <w:br w:type="page"/>
      </w:r>
    </w:p>
    <w:p>
      <w:pPr>
        <w:pStyle w:val="Heading1"/>
      </w:pPr>
      <w:r>
        <w:t>4. Les contraintes de travail</w:t>
      </w:r>
    </w:p>
    <w:p>
      <w:pPr>
        <w:pStyle w:val="ListBullet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Ne jamais inventer une décision, un responsable, un montant ou une échéance.</w:t>
      </w:r>
    </w:p>
    <w:p>
      <w:pPr>
        <w:pStyle w:val="ListBullet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Séparer les faits, les propositions et les questions ouvertes.</w:t>
      </w:r>
    </w:p>
    <w:p>
      <w:pPr>
        <w:pStyle w:val="ListBullet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Citer une phrase source pour chaque action extraite.</w:t>
      </w:r>
    </w:p>
    <w:p>
      <w:pPr>
        <w:pStyle w:val="ListBullet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Limiter le compte rendu à 180 mots avant le tableau d’actions.</w:t>
      </w:r>
    </w:p>
    <w:p>
      <w:pPr>
        <w:pStyle w:val="ListBullet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Conserver une validation humaine avant l’envoi du courriel.</w:t>
      </w:r>
    </w:p>
    <w:p>
      <w:pPr>
        <w:pStyle w:val="Heading1"/>
      </w:pPr>
      <w:r>
        <w:t>5. Jeu d’essai incomplet</w:t>
      </w:r>
    </w:p>
    <w:p>
      <w:r>
        <w:t>Utilisez cette variante pour vérifier que votre prompt sait signaler un manque : retirez la phrase qui attribue l’action à Malik et remplacez-la par « Les libellés doivent être corrigés avant jeudi 16 h ». Le résultat attendu doit indiquer un responsable « à confirmer », sans en choisir un à votre place.</w:t>
      </w:r>
    </w:p>
    <w:p>
      <w:pPr>
        <w:pStyle w:val="Heading1"/>
      </w:pPr>
      <w:r>
        <w:t>6. Jeu d’essai sensible</w:t>
      </w:r>
    </w:p>
    <w:p>
      <w:r>
        <w:t>Imaginez qu’une note mentionne une adresse personnelle, une appréciation sur un salarié et un montant contractuel confidentiel. Ne copiez pas ces informations dans un assistant non autorisé. Remplacez-les par des catégories fictives, puis expliquez quelle validation interne serait nécessaire avant un traitement réel.</w:t>
      </w:r>
    </w:p>
    <w:p>
      <w:pPr>
        <w:pStyle w:val="Heading1"/>
      </w:pPr>
      <w:r>
        <w:t>7. Livrables attendus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Un ordre du jour de cinq points maximum, avec l’objectif de chaque point.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Une synthèse factuelle distinguant décisions, propositions et questions.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Un tableau d’actions compatible avec le fichier Excel fourni.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Un courriel de suivi prêt à relire, jamais envoyé automatiquement.</w:t>
      </w:r>
    </w:p>
    <w:p>
      <w:pPr>
        <w:pStyle w:val="ListNumber"/>
        <w:spacing w:after="80"/>
        <w:ind w:left="540" w:hanging="271"/>
      </w:pPr>
      <w:r>
        <w:rPr>
          <w:rFonts w:ascii="Calibri" w:hAnsi="Calibri"/>
          <w:b w:val="0"/>
          <w:i w:val="0"/>
          <w:color w:val="173F2A"/>
          <w:sz w:val="22"/>
        </w:rPr>
        <w:t>Une courte note indiquant les contrôles effectués et les corrections apportées.</w:t>
      </w:r>
    </w:p>
    <w:p>
      <w:pPr>
        <w:pStyle w:val="Heading1"/>
      </w:pPr>
      <w:r>
        <w:t>Avant de commencer</w:t>
      </w:r>
    </w:p>
    <w:p>
      <w:r>
        <w:rPr>
          <w:rFonts w:ascii="Calibri" w:hAnsi="Calibri"/>
          <w:b/>
          <w:i w:val="0"/>
          <w:color w:val="0B5C56"/>
          <w:sz w:val="22"/>
        </w:rPr>
        <w:t>Créez une copie de ce document. Ne remplacez jamais les données fictives par des informations réelles tant que l’usage, l’outil et le compte n’ont pas été autorisés par votre organisation.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2655C"/>
        <w:sz w:val="18"/>
      </w:rPr>
      <w:t>Données entièrement fictives · support pédagogique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 w:val="0"/>
        <w:i w:val="0"/>
        <w:color w:val="52655C"/>
        <w:sz w:val="18"/>
      </w:rPr>
      <w:t>NBForm · Maîtrise de l’IA en milieu professionnel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73F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5C5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5C5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F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